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31D8" w14:textId="77777777" w:rsidR="0073033B" w:rsidRPr="009B1A4C" w:rsidRDefault="0073033B" w:rsidP="009B1A4C">
      <w:pPr>
        <w:pStyle w:val="Titre1"/>
      </w:pPr>
      <w:r w:rsidRPr="009B1A4C">
        <w:t>Objectif du bilan</w:t>
      </w:r>
    </w:p>
    <w:p w14:paraId="05E263EE" w14:textId="77777777" w:rsidR="00076B08" w:rsidRDefault="00076B08" w:rsidP="009B1A4C">
      <w:pPr>
        <w:pStyle w:val="Titre1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076B0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Le bilan vise à évaluer la présence éventuelle d’un Trouble du Déficit de l’Attention avec ou sans Hyperactivité (TDAH) à l’âge adulte.</w:t>
      </w:r>
    </w:p>
    <w:p w14:paraId="0E765A8A" w14:textId="77777777" w:rsidR="00076B08" w:rsidRDefault="00076B08" w:rsidP="009B1A4C">
      <w:pPr>
        <w:pStyle w:val="Titre1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 w:rsidRPr="00076B0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Il permet de mieux comprendre votre fonctionnement attentionnel, exécutif et émotionnel, ainsi que l’impact de ces particularités sur votre quotidien.</w:t>
      </w:r>
    </w:p>
    <w:p w14:paraId="187FA7F7" w14:textId="6400D19D" w:rsidR="00076B08" w:rsidRDefault="00076B08" w:rsidP="009B1A4C">
      <w:pPr>
        <w:pStyle w:val="Titre1"/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</w:pPr>
      <w:r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C</w:t>
      </w:r>
      <w:r w:rsidRPr="00076B08">
        <w:rPr>
          <w:rFonts w:ascii="Calibri" w:eastAsiaTheme="minorEastAsia" w:hAnsi="Calibri" w:cstheme="minorBidi"/>
          <w:b w:val="0"/>
          <w:bCs w:val="0"/>
          <w:color w:val="auto"/>
          <w:sz w:val="22"/>
          <w:szCs w:val="22"/>
        </w:rPr>
        <w:t>e bilan n’a pas valeur de diagnostic médical : seule une consultation psychiatrique peut confirmer officiellement le diagnostic et permettre d’envisager un traitement ou des démarches (RQTH, aménagements, etc.).</w:t>
      </w:r>
    </w:p>
    <w:p w14:paraId="3D1AE5CB" w14:textId="77777777" w:rsidR="00076B08" w:rsidRPr="00076B08" w:rsidRDefault="00076B08" w:rsidP="00076B08">
      <w:pPr>
        <w:pStyle w:val="Titre1"/>
      </w:pPr>
      <w:r w:rsidRPr="00076B08">
        <w:t>Déroulement</w:t>
      </w:r>
    </w:p>
    <w:p w14:paraId="4BEE63B4" w14:textId="77777777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 xml:space="preserve">Le bilan comprend environ </w:t>
      </w:r>
      <w:r w:rsidRPr="00076B08">
        <w:rPr>
          <w:b/>
          <w:bCs/>
          <w:lang w:val="fr-FR"/>
        </w:rPr>
        <w:t>3 à 4 heures de rendez-vous</w:t>
      </w:r>
      <w:r w:rsidRPr="00076B08">
        <w:rPr>
          <w:lang w:val="fr-FR"/>
        </w:rPr>
        <w:t>, réparties en plusieurs séances d’1 à 2h selon votre rythme.</w:t>
      </w:r>
    </w:p>
    <w:p w14:paraId="1373CAC2" w14:textId="77777777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 xml:space="preserve">Il se déroule en </w:t>
      </w:r>
      <w:r w:rsidRPr="00076B08">
        <w:rPr>
          <w:b/>
          <w:bCs/>
          <w:lang w:val="fr-FR"/>
        </w:rPr>
        <w:t>trois étapes</w:t>
      </w:r>
      <w:r w:rsidRPr="00076B08">
        <w:rPr>
          <w:lang w:val="fr-FR"/>
        </w:rPr>
        <w:t xml:space="preserve"> :</w:t>
      </w:r>
    </w:p>
    <w:p w14:paraId="5C362A33" w14:textId="7DB8AEF8" w:rsidR="00076B08" w:rsidRPr="00076B08" w:rsidRDefault="00076B08" w:rsidP="00076B08">
      <w:pPr>
        <w:pStyle w:val="Paragraphedeliste"/>
        <w:numPr>
          <w:ilvl w:val="0"/>
          <w:numId w:val="14"/>
        </w:numPr>
        <w:rPr>
          <w:b/>
          <w:bCs/>
          <w:lang w:val="fr-FR"/>
        </w:rPr>
      </w:pPr>
      <w:r w:rsidRPr="00076B08">
        <w:rPr>
          <w:b/>
          <w:bCs/>
          <w:lang w:val="fr-FR"/>
        </w:rPr>
        <w:t>Entretien préalable (hors bilan)</w:t>
      </w:r>
    </w:p>
    <w:p w14:paraId="3725782C" w14:textId="71497200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Cet entretien permet de retracer votre histoire de vie, d’explorer les difficultés rencontrées et d’évaluer la pertinence d’un bilan complet.</w:t>
      </w:r>
      <w:r>
        <w:rPr>
          <w:lang w:val="fr-FR"/>
        </w:rPr>
        <w:t xml:space="preserve"> </w:t>
      </w:r>
      <w:r w:rsidRPr="00076B08">
        <w:rPr>
          <w:lang w:val="fr-FR"/>
        </w:rPr>
        <w:t>Il est réalisé avant le démarrage du bilan et n’est pas inclus dans le forfait.</w:t>
      </w:r>
    </w:p>
    <w:p w14:paraId="33800973" w14:textId="1077999F" w:rsidR="00076B08" w:rsidRPr="00076B08" w:rsidRDefault="00076B08" w:rsidP="00076B08">
      <w:pPr>
        <w:pStyle w:val="Paragraphedeliste"/>
        <w:numPr>
          <w:ilvl w:val="0"/>
          <w:numId w:val="14"/>
        </w:numPr>
        <w:rPr>
          <w:b/>
          <w:bCs/>
          <w:lang w:val="fr-FR"/>
        </w:rPr>
      </w:pPr>
      <w:r w:rsidRPr="00076B08">
        <w:rPr>
          <w:b/>
          <w:bCs/>
          <w:lang w:val="fr-FR"/>
        </w:rPr>
        <w:t>Investigation du trouble</w:t>
      </w:r>
    </w:p>
    <w:p w14:paraId="51F755F8" w14:textId="77777777" w:rsidR="00076B08" w:rsidRPr="00076B08" w:rsidRDefault="00076B08" w:rsidP="00076B08">
      <w:pPr>
        <w:pStyle w:val="Paragraphedeliste"/>
        <w:numPr>
          <w:ilvl w:val="0"/>
          <w:numId w:val="17"/>
        </w:numPr>
        <w:spacing w:after="0"/>
        <w:ind w:left="1068"/>
        <w:rPr>
          <w:b/>
          <w:bCs/>
          <w:lang w:val="fr-FR"/>
        </w:rPr>
      </w:pPr>
      <w:r w:rsidRPr="00076B08">
        <w:rPr>
          <w:b/>
          <w:bCs/>
          <w:lang w:val="fr-FR"/>
        </w:rPr>
        <w:t>En rendez-vous :</w:t>
      </w:r>
    </w:p>
    <w:p w14:paraId="52C7D8DC" w14:textId="77777777" w:rsidR="00076B08" w:rsidRDefault="00076B08" w:rsidP="00076B08">
      <w:pPr>
        <w:numPr>
          <w:ilvl w:val="0"/>
          <w:numId w:val="10"/>
        </w:numPr>
        <w:tabs>
          <w:tab w:val="clear" w:pos="1068"/>
          <w:tab w:val="num" w:pos="1416"/>
        </w:tabs>
        <w:spacing w:after="0"/>
        <w:ind w:left="1416"/>
        <w:rPr>
          <w:lang w:val="fr-FR"/>
        </w:rPr>
      </w:pPr>
      <w:r w:rsidRPr="00076B08">
        <w:rPr>
          <w:b/>
          <w:bCs/>
          <w:lang w:val="fr-FR"/>
        </w:rPr>
        <w:t>Entretien clinique structuré DIVA 5.0</w:t>
      </w:r>
      <w:r w:rsidRPr="00076B08">
        <w:rPr>
          <w:lang w:val="fr-FR"/>
        </w:rPr>
        <w:t>, basé sur les critères du DSM-5, permettant d’évaluer les symptômes d’inattention et d’hyperactivité/impulsivité à l’enfance et à l’âge adulte.</w:t>
      </w:r>
    </w:p>
    <w:p w14:paraId="05703218" w14:textId="00B8F627" w:rsidR="00076B08" w:rsidRPr="00076B08" w:rsidRDefault="00076B08" w:rsidP="00076B08">
      <w:pPr>
        <w:numPr>
          <w:ilvl w:val="0"/>
          <w:numId w:val="10"/>
        </w:numPr>
        <w:ind w:left="1416"/>
        <w:rPr>
          <w:lang w:val="fr-FR"/>
        </w:rPr>
      </w:pPr>
      <w:r w:rsidRPr="00076B08">
        <w:rPr>
          <w:lang w:val="fr-FR"/>
        </w:rPr>
        <w:t xml:space="preserve">Échanges cliniques complémentaires pour approfondir les situations concrètes et repérer d’éventuelles </w:t>
      </w:r>
      <w:r w:rsidRPr="00076B08">
        <w:rPr>
          <w:b/>
          <w:bCs/>
          <w:lang w:val="fr-FR"/>
        </w:rPr>
        <w:t>comorbidités.</w:t>
      </w:r>
    </w:p>
    <w:p w14:paraId="7A8C041C" w14:textId="3042958E" w:rsidR="00076B08" w:rsidRPr="00076B08" w:rsidRDefault="00076B08" w:rsidP="00076B08">
      <w:pPr>
        <w:pStyle w:val="Paragraphedeliste"/>
        <w:numPr>
          <w:ilvl w:val="0"/>
          <w:numId w:val="17"/>
        </w:numPr>
        <w:spacing w:after="0"/>
        <w:ind w:left="1068"/>
        <w:rPr>
          <w:b/>
          <w:bCs/>
          <w:lang w:val="fr-FR"/>
        </w:rPr>
      </w:pPr>
      <w:r w:rsidRPr="00076B08">
        <w:rPr>
          <w:b/>
          <w:bCs/>
          <w:lang w:val="fr-FR"/>
        </w:rPr>
        <w:t>À domicile :</w:t>
      </w:r>
    </w:p>
    <w:p w14:paraId="6886B2CF" w14:textId="77777777" w:rsidR="00076B08" w:rsidRPr="00076B08" w:rsidRDefault="00076B08" w:rsidP="00076B08">
      <w:pPr>
        <w:numPr>
          <w:ilvl w:val="0"/>
          <w:numId w:val="11"/>
        </w:numPr>
        <w:spacing w:after="0"/>
        <w:ind w:left="1416"/>
        <w:rPr>
          <w:lang w:val="fr-FR"/>
        </w:rPr>
      </w:pPr>
      <w:r w:rsidRPr="00076B08">
        <w:rPr>
          <w:b/>
          <w:bCs/>
          <w:lang w:val="fr-FR"/>
        </w:rPr>
        <w:t>Questionnaires d’auto-évaluation</w:t>
      </w:r>
      <w:r w:rsidRPr="00076B08">
        <w:rPr>
          <w:lang w:val="fr-FR"/>
        </w:rPr>
        <w:t xml:space="preserve"> portant sur le TDAH et ses retentissements (attention, impulsivité, désorganisation, émotions).</w:t>
      </w:r>
    </w:p>
    <w:p w14:paraId="53AD97F8" w14:textId="3CDCFCE2" w:rsidR="00076B08" w:rsidRPr="00076B08" w:rsidRDefault="00076B08" w:rsidP="00076B08">
      <w:pPr>
        <w:numPr>
          <w:ilvl w:val="0"/>
          <w:numId w:val="11"/>
        </w:numPr>
        <w:ind w:left="1416"/>
        <w:rPr>
          <w:lang w:val="fr-FR"/>
        </w:rPr>
      </w:pPr>
      <w:r w:rsidRPr="00076B08">
        <w:rPr>
          <w:b/>
          <w:bCs/>
          <w:lang w:val="fr-FR"/>
        </w:rPr>
        <w:t>Questionnaires complémentaires</w:t>
      </w:r>
      <w:r w:rsidRPr="00076B08">
        <w:rPr>
          <w:lang w:val="fr-FR"/>
        </w:rPr>
        <w:t xml:space="preserve"> concernant d’éventuelles comorbidités (anxiété, dépression, impulsivité, sommeil, etc.).</w:t>
      </w:r>
      <w:r>
        <w:rPr>
          <w:lang w:val="fr-FR"/>
        </w:rPr>
        <w:t xml:space="preserve"> </w:t>
      </w:r>
      <w:r w:rsidRPr="00076B08">
        <w:rPr>
          <w:lang w:val="fr-FR"/>
        </w:rPr>
        <w:t>Les outils peuvent être adaptés selon les besoins et la situation.</w:t>
      </w:r>
    </w:p>
    <w:p w14:paraId="45ABE706" w14:textId="667E6C9C" w:rsidR="00076B08" w:rsidRPr="00076B08" w:rsidRDefault="00076B08" w:rsidP="00076B08">
      <w:pPr>
        <w:pStyle w:val="Paragraphedeliste"/>
        <w:numPr>
          <w:ilvl w:val="0"/>
          <w:numId w:val="14"/>
        </w:numPr>
        <w:rPr>
          <w:b/>
          <w:bCs/>
          <w:lang w:val="fr-FR"/>
        </w:rPr>
      </w:pPr>
      <w:r w:rsidRPr="00076B08">
        <w:rPr>
          <w:b/>
          <w:bCs/>
          <w:lang w:val="fr-FR"/>
        </w:rPr>
        <w:t>Analyse et restitution</w:t>
      </w:r>
    </w:p>
    <w:p w14:paraId="7262B5B7" w14:textId="5FC7105D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Les données issues de l’entretien et des questionnaires sont analysées et croisées.</w:t>
      </w:r>
      <w:r w:rsidRPr="00076B08">
        <w:rPr>
          <w:lang w:val="fr-FR"/>
        </w:rPr>
        <w:br/>
        <w:t xml:space="preserve">Un </w:t>
      </w:r>
      <w:r w:rsidRPr="00076B08">
        <w:rPr>
          <w:b/>
          <w:bCs/>
          <w:lang w:val="fr-FR"/>
        </w:rPr>
        <w:t>compte rendu écrit structuré</w:t>
      </w:r>
      <w:r w:rsidRPr="00076B08">
        <w:rPr>
          <w:lang w:val="fr-FR"/>
        </w:rPr>
        <w:t xml:space="preserve"> est ensuite rédigé (anamnèse, résultats, analyse, conclusion et recommandations).</w:t>
      </w:r>
      <w:r w:rsidRPr="00076B08">
        <w:rPr>
          <w:lang w:val="fr-FR"/>
        </w:rPr>
        <w:br/>
        <w:t xml:space="preserve">Une </w:t>
      </w:r>
      <w:r w:rsidRPr="00076B08">
        <w:rPr>
          <w:b/>
          <w:bCs/>
          <w:lang w:val="fr-FR"/>
        </w:rPr>
        <w:t>séance de restitution</w:t>
      </w:r>
      <w:r w:rsidRPr="00076B08">
        <w:rPr>
          <w:lang w:val="fr-FR"/>
        </w:rPr>
        <w:t xml:space="preserve"> est prévue pour lire ensemble le bilan, échanger sur les résultats et discuter d’éventuelles modifications.</w:t>
      </w:r>
    </w:p>
    <w:p w14:paraId="4FE2243E" w14:textId="77777777" w:rsidR="00076B08" w:rsidRPr="00076B08" w:rsidRDefault="00076B08" w:rsidP="00076B08">
      <w:pPr>
        <w:pStyle w:val="Titre1"/>
      </w:pPr>
      <w:r w:rsidRPr="00076B08">
        <w:t>Cadre et documents contractuels</w:t>
      </w:r>
    </w:p>
    <w:p w14:paraId="3195349E" w14:textId="77777777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Avant le début du bilan, plusieurs documents sont remis :</w:t>
      </w:r>
    </w:p>
    <w:p w14:paraId="44105FEC" w14:textId="77777777" w:rsidR="00076B08" w:rsidRPr="00076B08" w:rsidRDefault="00076B08" w:rsidP="00076B08">
      <w:pPr>
        <w:numPr>
          <w:ilvl w:val="0"/>
          <w:numId w:val="12"/>
        </w:numPr>
        <w:rPr>
          <w:lang w:val="fr-FR"/>
        </w:rPr>
      </w:pPr>
      <w:r w:rsidRPr="00076B08">
        <w:rPr>
          <w:b/>
          <w:bCs/>
          <w:lang w:val="fr-FR"/>
        </w:rPr>
        <w:t>Contrat de prestation de bilan</w:t>
      </w:r>
      <w:r w:rsidRPr="00076B08">
        <w:rPr>
          <w:lang w:val="fr-FR"/>
        </w:rPr>
        <w:t xml:space="preserve"> (conditions, tarifs, déroulement),</w:t>
      </w:r>
    </w:p>
    <w:p w14:paraId="433CC85C" w14:textId="77777777" w:rsidR="00076B08" w:rsidRPr="00076B08" w:rsidRDefault="00076B08" w:rsidP="00076B08">
      <w:pPr>
        <w:numPr>
          <w:ilvl w:val="0"/>
          <w:numId w:val="12"/>
        </w:numPr>
        <w:rPr>
          <w:lang w:val="fr-FR"/>
        </w:rPr>
      </w:pPr>
      <w:r w:rsidRPr="00076B08">
        <w:rPr>
          <w:b/>
          <w:bCs/>
          <w:lang w:val="fr-FR"/>
        </w:rPr>
        <w:t>Conditions Générales de Vente (CGV)</w:t>
      </w:r>
      <w:r w:rsidRPr="00076B08">
        <w:rPr>
          <w:lang w:val="fr-FR"/>
        </w:rPr>
        <w:t>,</w:t>
      </w:r>
    </w:p>
    <w:p w14:paraId="0DDF5348" w14:textId="77777777" w:rsidR="00076B08" w:rsidRPr="00076B08" w:rsidRDefault="00076B08" w:rsidP="00076B08">
      <w:pPr>
        <w:numPr>
          <w:ilvl w:val="0"/>
          <w:numId w:val="12"/>
        </w:numPr>
        <w:rPr>
          <w:lang w:val="fr-FR"/>
        </w:rPr>
      </w:pPr>
      <w:r w:rsidRPr="00076B08">
        <w:rPr>
          <w:b/>
          <w:bCs/>
          <w:lang w:val="fr-FR"/>
        </w:rPr>
        <w:t>Consentement RGPD</w:t>
      </w:r>
      <w:r w:rsidRPr="00076B08">
        <w:rPr>
          <w:lang w:val="fr-FR"/>
        </w:rPr>
        <w:t xml:space="preserve"> (gestion et conservation des données personnelles).</w:t>
      </w:r>
    </w:p>
    <w:p w14:paraId="22225DC8" w14:textId="3EA4B98D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Ces documents assurent un cadre clair et conforme au Code de déontologie des psychologues et au RGPD.</w:t>
      </w:r>
      <w:r w:rsidRPr="00076B08">
        <w:rPr>
          <w:lang w:val="fr-FR"/>
        </w:rPr>
        <w:br/>
        <w:t xml:space="preserve">Toutes les informations échangées sont </w:t>
      </w:r>
      <w:r w:rsidRPr="00076B08">
        <w:rPr>
          <w:b/>
          <w:bCs/>
          <w:lang w:val="fr-FR"/>
        </w:rPr>
        <w:t>strictement confidentielles</w:t>
      </w:r>
      <w:r w:rsidRPr="00076B08">
        <w:rPr>
          <w:lang w:val="fr-FR"/>
        </w:rPr>
        <w:t xml:space="preserve"> et ne peuvent être transmises sans votre accord écrit.</w:t>
      </w:r>
    </w:p>
    <w:p w14:paraId="1B74919B" w14:textId="77777777" w:rsidR="00076B08" w:rsidRPr="00076B08" w:rsidRDefault="00076B08" w:rsidP="00076B08">
      <w:pPr>
        <w:pStyle w:val="Titre1"/>
      </w:pPr>
      <w:r w:rsidRPr="00076B08">
        <w:lastRenderedPageBreak/>
        <w:t>Tarif et règlement</w:t>
      </w:r>
    </w:p>
    <w:p w14:paraId="0A622865" w14:textId="77777777" w:rsidR="00076B08" w:rsidRDefault="00076B08" w:rsidP="00076B08">
      <w:pPr>
        <w:rPr>
          <w:b/>
          <w:bCs/>
          <w:lang w:val="fr-FR"/>
        </w:rPr>
      </w:pPr>
      <w:r w:rsidRPr="00076B08">
        <w:rPr>
          <w:lang w:val="fr-FR"/>
        </w:rPr>
        <w:t xml:space="preserve">Tarif total : </w:t>
      </w:r>
      <w:r w:rsidRPr="00076B08">
        <w:rPr>
          <w:b/>
          <w:bCs/>
          <w:lang w:val="fr-FR"/>
        </w:rPr>
        <w:t>250 €</w:t>
      </w:r>
    </w:p>
    <w:p w14:paraId="14AAFBC1" w14:textId="77777777" w:rsidR="00076B08" w:rsidRDefault="00076B08" w:rsidP="00076B08">
      <w:pPr>
        <w:rPr>
          <w:lang w:val="fr-FR"/>
        </w:rPr>
      </w:pPr>
      <w:r w:rsidRPr="00076B08">
        <w:rPr>
          <w:lang w:val="fr-FR"/>
        </w:rPr>
        <w:t>→ 50 % après la fin des questionnaires</w:t>
      </w:r>
    </w:p>
    <w:p w14:paraId="6202B9E1" w14:textId="0AB31EA3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→ 50 % à la remise du compte rendu final</w:t>
      </w:r>
    </w:p>
    <w:p w14:paraId="39DD646B" w14:textId="77777777" w:rsidR="00076B08" w:rsidRDefault="00076B08" w:rsidP="00076B08">
      <w:pPr>
        <w:rPr>
          <w:lang w:val="fr-FR"/>
        </w:rPr>
      </w:pPr>
      <w:r w:rsidRPr="00076B08">
        <w:rPr>
          <w:lang w:val="fr-FR"/>
        </w:rPr>
        <w:t xml:space="preserve">Le règlement peut être effectué </w:t>
      </w:r>
      <w:r w:rsidRPr="00076B08">
        <w:rPr>
          <w:b/>
          <w:bCs/>
          <w:lang w:val="fr-FR"/>
        </w:rPr>
        <w:t>en espèces, par virement bancaire, ou via Doctolib</w:t>
      </w:r>
      <w:r w:rsidRPr="00076B08">
        <w:rPr>
          <w:lang w:val="fr-FR"/>
        </w:rPr>
        <w:t xml:space="preserve"> (si une partie des rendez-vous est</w:t>
      </w:r>
      <w:r>
        <w:rPr>
          <w:lang w:val="fr-FR"/>
        </w:rPr>
        <w:t xml:space="preserve"> </w:t>
      </w:r>
      <w:r w:rsidRPr="00076B08">
        <w:rPr>
          <w:lang w:val="fr-FR"/>
        </w:rPr>
        <w:t>réalisée en distanciel).</w:t>
      </w:r>
    </w:p>
    <w:p w14:paraId="1DA1CD06" w14:textId="4E8E0833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 xml:space="preserve">Une facture peut être fournie sur demande, </w:t>
      </w:r>
      <w:r w:rsidRPr="00076B08">
        <w:rPr>
          <w:b/>
          <w:bCs/>
          <w:lang w:val="fr-FR"/>
        </w:rPr>
        <w:t>après paiement complet</w:t>
      </w:r>
      <w:r w:rsidRPr="00076B08">
        <w:rPr>
          <w:lang w:val="fr-FR"/>
        </w:rPr>
        <w:t xml:space="preserve"> du bilan.</w:t>
      </w:r>
    </w:p>
    <w:p w14:paraId="21884DAD" w14:textId="6133863D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En cas d’annulation d’un rendez-vous moins de 48h à l’avance, le motif sera étudié ; des frais peuvent s’appliquer s’il est jugé non légitime.</w:t>
      </w:r>
      <w:r>
        <w:rPr>
          <w:lang w:val="fr-FR"/>
        </w:rPr>
        <w:t xml:space="preserve"> </w:t>
      </w:r>
      <w:r w:rsidRPr="00076B08">
        <w:rPr>
          <w:lang w:val="fr-FR"/>
        </w:rPr>
        <w:t>En cas de retard, le rendez-vous pourra être écourté si un autre patient est prévu après.</w:t>
      </w:r>
    </w:p>
    <w:p w14:paraId="0518ADEF" w14:textId="77777777" w:rsidR="00076B08" w:rsidRPr="00076B08" w:rsidRDefault="00076B08" w:rsidP="00076B08">
      <w:pPr>
        <w:pStyle w:val="Titre1"/>
      </w:pPr>
      <w:r w:rsidRPr="00076B08">
        <w:t>Remarque</w:t>
      </w:r>
    </w:p>
    <w:p w14:paraId="4FA5339D" w14:textId="77777777" w:rsidR="00076B08" w:rsidRDefault="00076B08" w:rsidP="00076B08">
      <w:pPr>
        <w:rPr>
          <w:lang w:val="fr-FR"/>
        </w:rPr>
      </w:pPr>
      <w:r w:rsidRPr="00076B08">
        <w:rPr>
          <w:lang w:val="fr-FR"/>
        </w:rPr>
        <w:t xml:space="preserve">Le déroulement du bilan est </w:t>
      </w:r>
      <w:r w:rsidRPr="00076B08">
        <w:rPr>
          <w:b/>
          <w:bCs/>
          <w:lang w:val="fr-FR"/>
        </w:rPr>
        <w:t>personnalisé selon les besoins et le rythme de chacun</w:t>
      </w:r>
      <w:r w:rsidRPr="00076B08">
        <w:rPr>
          <w:lang w:val="fr-FR"/>
        </w:rPr>
        <w:t>.</w:t>
      </w:r>
    </w:p>
    <w:p w14:paraId="1ED55343" w14:textId="0C48605B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 xml:space="preserve">Un </w:t>
      </w:r>
      <w:r w:rsidRPr="00076B08">
        <w:rPr>
          <w:b/>
          <w:bCs/>
          <w:lang w:val="fr-FR"/>
        </w:rPr>
        <w:t>paiement différé ou échelonné</w:t>
      </w:r>
      <w:r w:rsidRPr="00076B08">
        <w:rPr>
          <w:lang w:val="fr-FR"/>
        </w:rPr>
        <w:t xml:space="preserve"> peut être proposé si nécessaire, à condition d’en discuter </w:t>
      </w:r>
      <w:r w:rsidRPr="00076B08">
        <w:rPr>
          <w:b/>
          <w:bCs/>
          <w:lang w:val="fr-FR"/>
        </w:rPr>
        <w:t>avant le démarrage du bilan</w:t>
      </w:r>
      <w:r w:rsidRPr="00076B08">
        <w:rPr>
          <w:lang w:val="fr-FR"/>
        </w:rPr>
        <w:t>, afin d’établir ensemble un échéancier écrit.</w:t>
      </w:r>
    </w:p>
    <w:p w14:paraId="78E7F5F9" w14:textId="77777777" w:rsidR="00076B08" w:rsidRPr="00076B08" w:rsidRDefault="00076B08" w:rsidP="00076B08">
      <w:pPr>
        <w:rPr>
          <w:lang w:val="fr-FR"/>
        </w:rPr>
      </w:pPr>
      <w:r w:rsidRPr="00076B08">
        <w:rPr>
          <w:lang w:val="fr-FR"/>
        </w:rPr>
        <w:t>Pour toute question ou précision concernant le déroulement, vous pouvez me contacter par e-mail :</w:t>
      </w:r>
      <w:r w:rsidRPr="00076B08">
        <w:rPr>
          <w:lang w:val="fr-FR"/>
        </w:rPr>
        <w:br/>
      </w:r>
      <w:r w:rsidRPr="00076B08">
        <w:rPr>
          <w:rFonts w:ascii="Segoe UI Emoji" w:hAnsi="Segoe UI Emoji" w:cs="Segoe UI Emoji"/>
          <w:lang w:val="fr-FR"/>
        </w:rPr>
        <w:t>📧</w:t>
      </w:r>
      <w:r w:rsidRPr="00076B08">
        <w:rPr>
          <w:lang w:val="fr-FR"/>
        </w:rPr>
        <w:t xml:space="preserve"> </w:t>
      </w:r>
      <w:r w:rsidRPr="00076B08">
        <w:rPr>
          <w:b/>
          <w:bCs/>
          <w:lang w:val="fr-FR"/>
        </w:rPr>
        <w:t>julie.bastien.psychologue@gmail.com</w:t>
      </w:r>
    </w:p>
    <w:p w14:paraId="7F3DE4AD" w14:textId="77777777" w:rsidR="006D560A" w:rsidRPr="0073033B" w:rsidRDefault="006D560A">
      <w:pPr>
        <w:rPr>
          <w:lang w:val="fr-FR"/>
        </w:rPr>
      </w:pPr>
    </w:p>
    <w:sectPr w:rsidR="006D560A" w:rsidRPr="0073033B" w:rsidSect="0073033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35FC" w14:textId="77777777" w:rsidR="00440D3C" w:rsidRDefault="00440D3C" w:rsidP="0073033B">
      <w:pPr>
        <w:spacing w:after="0"/>
      </w:pPr>
      <w:r>
        <w:separator/>
      </w:r>
    </w:p>
  </w:endnote>
  <w:endnote w:type="continuationSeparator" w:id="0">
    <w:p w14:paraId="4E78D172" w14:textId="77777777" w:rsidR="00440D3C" w:rsidRDefault="00440D3C" w:rsidP="007303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5E51" w14:textId="77777777" w:rsidR="009B1A4C" w:rsidRPr="005A7F34" w:rsidRDefault="009B1A4C" w:rsidP="009B1A4C">
    <w:pPr>
      <w:pStyle w:val="Pieddepage"/>
      <w:jc w:val="center"/>
      <w:rPr>
        <w:sz w:val="16"/>
        <w:szCs w:val="16"/>
        <w:lang w:val="fr-FR"/>
      </w:rPr>
    </w:pPr>
    <w:bookmarkStart w:id="0" w:name="_Hlk213607847"/>
    <w:r w:rsidRPr="005A7F34">
      <w:rPr>
        <w:sz w:val="16"/>
        <w:szCs w:val="16"/>
        <w:lang w:val="fr-FR"/>
      </w:rPr>
      <w:t>Julie Bastien Psychologue</w:t>
    </w:r>
  </w:p>
  <w:p w14:paraId="06AB0885" w14:textId="77777777" w:rsidR="009B1A4C" w:rsidRPr="005A7F34" w:rsidRDefault="009B1A4C" w:rsidP="009B1A4C">
    <w:pPr>
      <w:pStyle w:val="Pieddepage"/>
      <w:jc w:val="center"/>
      <w:rPr>
        <w:sz w:val="16"/>
        <w:szCs w:val="16"/>
        <w:lang w:val="fr-FR"/>
      </w:rPr>
    </w:pPr>
    <w:r w:rsidRPr="005A7F34">
      <w:rPr>
        <w:sz w:val="16"/>
        <w:szCs w:val="16"/>
        <w:lang w:val="fr-FR"/>
      </w:rPr>
      <w:t>4 petite rue des magasins, 67000 Strasbourg _ 0671291396 – julie.bastien.psychologue@gmail.com – juliebastienpsychologue.fr</w:t>
    </w:r>
  </w:p>
  <w:p w14:paraId="42155446" w14:textId="50AD8C9A" w:rsidR="009B1A4C" w:rsidRPr="009B1A4C" w:rsidRDefault="009B1A4C" w:rsidP="009B1A4C">
    <w:pPr>
      <w:pStyle w:val="Pieddepage"/>
      <w:jc w:val="center"/>
      <w:rPr>
        <w:sz w:val="16"/>
        <w:szCs w:val="16"/>
        <w:lang w:val="fr-FR"/>
      </w:rPr>
    </w:pPr>
    <w:r w:rsidRPr="005A7F34">
      <w:rPr>
        <w:sz w:val="16"/>
        <w:szCs w:val="16"/>
        <w:lang w:val="fr-FR"/>
      </w:rPr>
      <w:t>Siret 938 046 828 00019 – APE 96.09Z – Identifiant RPPS 810009420794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FAC8" w14:textId="77777777" w:rsidR="00440D3C" w:rsidRDefault="00440D3C" w:rsidP="0073033B">
      <w:pPr>
        <w:spacing w:after="0"/>
      </w:pPr>
      <w:r>
        <w:separator/>
      </w:r>
    </w:p>
  </w:footnote>
  <w:footnote w:type="continuationSeparator" w:id="0">
    <w:p w14:paraId="3D24E60D" w14:textId="77777777" w:rsidR="00440D3C" w:rsidRDefault="00440D3C" w:rsidP="007303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BC00" w14:textId="54D4057F" w:rsidR="0073033B" w:rsidRDefault="009B1A4C" w:rsidP="0073033B">
    <w:pPr>
      <w:pStyle w:val="Titr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FAF3FD" wp14:editId="43D3ABCD">
          <wp:simplePos x="0" y="0"/>
          <wp:positionH relativeFrom="column">
            <wp:posOffset>5695950</wp:posOffset>
          </wp:positionH>
          <wp:positionV relativeFrom="paragraph">
            <wp:posOffset>-306705</wp:posOffset>
          </wp:positionV>
          <wp:extent cx="901587" cy="901587"/>
          <wp:effectExtent l="0" t="0" r="0" b="0"/>
          <wp:wrapNone/>
          <wp:docPr id="1435209255" name="Image 1" descr="Une image contenant art, cercle, dessi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377103" name="Image 1" descr="Une image contenant art, cercle, dessi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587" cy="901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EB94E25" wp14:editId="1B3ACEDD">
          <wp:simplePos x="0" y="0"/>
          <wp:positionH relativeFrom="column">
            <wp:posOffset>28575</wp:posOffset>
          </wp:positionH>
          <wp:positionV relativeFrom="paragraph">
            <wp:posOffset>-306705</wp:posOffset>
          </wp:positionV>
          <wp:extent cx="901587" cy="901587"/>
          <wp:effectExtent l="0" t="0" r="0" b="0"/>
          <wp:wrapNone/>
          <wp:docPr id="1658926213" name="Image 1" descr="Une image contenant art, cercle, dessi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377103" name="Image 1" descr="Une image contenant art, cercle, dessi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587" cy="901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033B">
      <w:t xml:space="preserve">Déroulement Bilan </w:t>
    </w:r>
    <w:r w:rsidR="00076B08">
      <w:t>TDAH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2484"/>
    <w:multiLevelType w:val="multilevel"/>
    <w:tmpl w:val="0710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E07FD"/>
    <w:multiLevelType w:val="multilevel"/>
    <w:tmpl w:val="521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04CE2"/>
    <w:multiLevelType w:val="hybridMultilevel"/>
    <w:tmpl w:val="98C43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272B1"/>
    <w:multiLevelType w:val="multilevel"/>
    <w:tmpl w:val="829C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A3186"/>
    <w:multiLevelType w:val="multilevel"/>
    <w:tmpl w:val="1C44B2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7565E"/>
    <w:multiLevelType w:val="multilevel"/>
    <w:tmpl w:val="840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975AE4"/>
    <w:multiLevelType w:val="multilevel"/>
    <w:tmpl w:val="521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80E79"/>
    <w:multiLevelType w:val="multilevel"/>
    <w:tmpl w:val="840A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30277"/>
    <w:multiLevelType w:val="multilevel"/>
    <w:tmpl w:val="7512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A76E3"/>
    <w:multiLevelType w:val="hybridMultilevel"/>
    <w:tmpl w:val="825ED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05A6F"/>
    <w:multiLevelType w:val="multilevel"/>
    <w:tmpl w:val="521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05EF0"/>
    <w:multiLevelType w:val="hybridMultilevel"/>
    <w:tmpl w:val="F1D293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D4CFB"/>
    <w:multiLevelType w:val="hybridMultilevel"/>
    <w:tmpl w:val="130AB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47417"/>
    <w:multiLevelType w:val="multilevel"/>
    <w:tmpl w:val="BF8CF29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0407A4"/>
    <w:multiLevelType w:val="multilevel"/>
    <w:tmpl w:val="521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C1581D"/>
    <w:multiLevelType w:val="multilevel"/>
    <w:tmpl w:val="521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7D03E7"/>
    <w:multiLevelType w:val="hybridMultilevel"/>
    <w:tmpl w:val="0E0A0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415">
    <w:abstractNumId w:val="3"/>
  </w:num>
  <w:num w:numId="2" w16cid:durableId="811406394">
    <w:abstractNumId w:val="8"/>
  </w:num>
  <w:num w:numId="3" w16cid:durableId="473790706">
    <w:abstractNumId w:val="6"/>
  </w:num>
  <w:num w:numId="4" w16cid:durableId="1872717520">
    <w:abstractNumId w:val="15"/>
  </w:num>
  <w:num w:numId="5" w16cid:durableId="2082022410">
    <w:abstractNumId w:val="10"/>
  </w:num>
  <w:num w:numId="6" w16cid:durableId="922878364">
    <w:abstractNumId w:val="14"/>
  </w:num>
  <w:num w:numId="7" w16cid:durableId="134957187">
    <w:abstractNumId w:val="1"/>
  </w:num>
  <w:num w:numId="8" w16cid:durableId="1527137762">
    <w:abstractNumId w:val="7"/>
  </w:num>
  <w:num w:numId="9" w16cid:durableId="1291284638">
    <w:abstractNumId w:val="5"/>
  </w:num>
  <w:num w:numId="10" w16cid:durableId="867569285">
    <w:abstractNumId w:val="13"/>
  </w:num>
  <w:num w:numId="11" w16cid:durableId="1402019368">
    <w:abstractNumId w:val="4"/>
  </w:num>
  <w:num w:numId="12" w16cid:durableId="1152133879">
    <w:abstractNumId w:val="0"/>
  </w:num>
  <w:num w:numId="13" w16cid:durableId="1392651482">
    <w:abstractNumId w:val="11"/>
  </w:num>
  <w:num w:numId="14" w16cid:durableId="1895000478">
    <w:abstractNumId w:val="16"/>
  </w:num>
  <w:num w:numId="15" w16cid:durableId="360005">
    <w:abstractNumId w:val="12"/>
  </w:num>
  <w:num w:numId="16" w16cid:durableId="766999050">
    <w:abstractNumId w:val="2"/>
  </w:num>
  <w:num w:numId="17" w16cid:durableId="291637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31"/>
    <w:rsid w:val="000013DA"/>
    <w:rsid w:val="00003F53"/>
    <w:rsid w:val="0001427B"/>
    <w:rsid w:val="000209AB"/>
    <w:rsid w:val="000331B1"/>
    <w:rsid w:val="0003568D"/>
    <w:rsid w:val="000528D2"/>
    <w:rsid w:val="00062BFB"/>
    <w:rsid w:val="00063495"/>
    <w:rsid w:val="00063C66"/>
    <w:rsid w:val="00076B08"/>
    <w:rsid w:val="0008767D"/>
    <w:rsid w:val="000913BE"/>
    <w:rsid w:val="000A503B"/>
    <w:rsid w:val="000B1A17"/>
    <w:rsid w:val="000B3544"/>
    <w:rsid w:val="000C54CB"/>
    <w:rsid w:val="000D3979"/>
    <w:rsid w:val="00101AE3"/>
    <w:rsid w:val="0010509C"/>
    <w:rsid w:val="00117B4D"/>
    <w:rsid w:val="0012272F"/>
    <w:rsid w:val="00131CBA"/>
    <w:rsid w:val="00131D70"/>
    <w:rsid w:val="00147061"/>
    <w:rsid w:val="001832A1"/>
    <w:rsid w:val="00186BD3"/>
    <w:rsid w:val="001C671B"/>
    <w:rsid w:val="001D5872"/>
    <w:rsid w:val="002014AC"/>
    <w:rsid w:val="00241B1D"/>
    <w:rsid w:val="0024673D"/>
    <w:rsid w:val="00246C32"/>
    <w:rsid w:val="00251BEA"/>
    <w:rsid w:val="00256D96"/>
    <w:rsid w:val="0026773E"/>
    <w:rsid w:val="002807CB"/>
    <w:rsid w:val="00293054"/>
    <w:rsid w:val="002B0B47"/>
    <w:rsid w:val="002D0C82"/>
    <w:rsid w:val="002D4E84"/>
    <w:rsid w:val="002E13ED"/>
    <w:rsid w:val="002E2370"/>
    <w:rsid w:val="002F3E0D"/>
    <w:rsid w:val="00302352"/>
    <w:rsid w:val="00313864"/>
    <w:rsid w:val="00315B00"/>
    <w:rsid w:val="00331107"/>
    <w:rsid w:val="00344A3F"/>
    <w:rsid w:val="00365C24"/>
    <w:rsid w:val="00373700"/>
    <w:rsid w:val="00373C3A"/>
    <w:rsid w:val="00383375"/>
    <w:rsid w:val="003A4450"/>
    <w:rsid w:val="003C211C"/>
    <w:rsid w:val="003C338D"/>
    <w:rsid w:val="003C3553"/>
    <w:rsid w:val="003C53F0"/>
    <w:rsid w:val="003C56E7"/>
    <w:rsid w:val="003D1D55"/>
    <w:rsid w:val="003E168D"/>
    <w:rsid w:val="003E3FC0"/>
    <w:rsid w:val="003F7CA9"/>
    <w:rsid w:val="00402783"/>
    <w:rsid w:val="0040656C"/>
    <w:rsid w:val="004069C7"/>
    <w:rsid w:val="00433D3B"/>
    <w:rsid w:val="004366C5"/>
    <w:rsid w:val="00440D3C"/>
    <w:rsid w:val="00445878"/>
    <w:rsid w:val="00451C4F"/>
    <w:rsid w:val="004626B2"/>
    <w:rsid w:val="004675D2"/>
    <w:rsid w:val="00474BF5"/>
    <w:rsid w:val="00482224"/>
    <w:rsid w:val="00497E80"/>
    <w:rsid w:val="004A1509"/>
    <w:rsid w:val="004A4BEE"/>
    <w:rsid w:val="004D00FD"/>
    <w:rsid w:val="00535B94"/>
    <w:rsid w:val="0054007C"/>
    <w:rsid w:val="0055011A"/>
    <w:rsid w:val="0055261A"/>
    <w:rsid w:val="00565686"/>
    <w:rsid w:val="00593B35"/>
    <w:rsid w:val="00597E33"/>
    <w:rsid w:val="005A29DF"/>
    <w:rsid w:val="005B6A4D"/>
    <w:rsid w:val="005C3A91"/>
    <w:rsid w:val="005D2336"/>
    <w:rsid w:val="005E2D18"/>
    <w:rsid w:val="005E351A"/>
    <w:rsid w:val="005E53F7"/>
    <w:rsid w:val="00601E5B"/>
    <w:rsid w:val="006137FB"/>
    <w:rsid w:val="00626C72"/>
    <w:rsid w:val="00650AE0"/>
    <w:rsid w:val="006531D2"/>
    <w:rsid w:val="006876A0"/>
    <w:rsid w:val="0069236E"/>
    <w:rsid w:val="006B4651"/>
    <w:rsid w:val="006B47BE"/>
    <w:rsid w:val="006C2A28"/>
    <w:rsid w:val="006D560A"/>
    <w:rsid w:val="006D5917"/>
    <w:rsid w:val="006D786D"/>
    <w:rsid w:val="006F24A0"/>
    <w:rsid w:val="007031E2"/>
    <w:rsid w:val="0070572A"/>
    <w:rsid w:val="0073033B"/>
    <w:rsid w:val="00731A78"/>
    <w:rsid w:val="00750694"/>
    <w:rsid w:val="00762F3A"/>
    <w:rsid w:val="00780538"/>
    <w:rsid w:val="00792C0B"/>
    <w:rsid w:val="00796D9B"/>
    <w:rsid w:val="007A7531"/>
    <w:rsid w:val="007E0C78"/>
    <w:rsid w:val="007E2357"/>
    <w:rsid w:val="007F45CA"/>
    <w:rsid w:val="0080579C"/>
    <w:rsid w:val="00832400"/>
    <w:rsid w:val="008344D1"/>
    <w:rsid w:val="0083521C"/>
    <w:rsid w:val="008466CA"/>
    <w:rsid w:val="00853A7D"/>
    <w:rsid w:val="0085563A"/>
    <w:rsid w:val="00890D3E"/>
    <w:rsid w:val="0089321E"/>
    <w:rsid w:val="008B7CCB"/>
    <w:rsid w:val="008C0295"/>
    <w:rsid w:val="008C5334"/>
    <w:rsid w:val="008D04FE"/>
    <w:rsid w:val="008E479C"/>
    <w:rsid w:val="00942217"/>
    <w:rsid w:val="00942483"/>
    <w:rsid w:val="009457DD"/>
    <w:rsid w:val="00952A58"/>
    <w:rsid w:val="00962EEB"/>
    <w:rsid w:val="00971ADB"/>
    <w:rsid w:val="00982754"/>
    <w:rsid w:val="00987D80"/>
    <w:rsid w:val="009934D4"/>
    <w:rsid w:val="0099605E"/>
    <w:rsid w:val="00996BE3"/>
    <w:rsid w:val="009B1A4C"/>
    <w:rsid w:val="009B45BA"/>
    <w:rsid w:val="009C0A60"/>
    <w:rsid w:val="009D5179"/>
    <w:rsid w:val="009F24B8"/>
    <w:rsid w:val="00A1396E"/>
    <w:rsid w:val="00A13A17"/>
    <w:rsid w:val="00A16033"/>
    <w:rsid w:val="00A22122"/>
    <w:rsid w:val="00A25861"/>
    <w:rsid w:val="00A25DC8"/>
    <w:rsid w:val="00A370B5"/>
    <w:rsid w:val="00A371DA"/>
    <w:rsid w:val="00A416EF"/>
    <w:rsid w:val="00A5490B"/>
    <w:rsid w:val="00A6224F"/>
    <w:rsid w:val="00A6417F"/>
    <w:rsid w:val="00A6576B"/>
    <w:rsid w:val="00A66A7F"/>
    <w:rsid w:val="00A71AC9"/>
    <w:rsid w:val="00A72EDC"/>
    <w:rsid w:val="00AA3F3B"/>
    <w:rsid w:val="00AB41C1"/>
    <w:rsid w:val="00AC7F3C"/>
    <w:rsid w:val="00AF0912"/>
    <w:rsid w:val="00B039EC"/>
    <w:rsid w:val="00B07F08"/>
    <w:rsid w:val="00B25E15"/>
    <w:rsid w:val="00B35A1F"/>
    <w:rsid w:val="00B4147E"/>
    <w:rsid w:val="00B4712C"/>
    <w:rsid w:val="00B70E66"/>
    <w:rsid w:val="00B72C62"/>
    <w:rsid w:val="00B72EFB"/>
    <w:rsid w:val="00B802C3"/>
    <w:rsid w:val="00B816F2"/>
    <w:rsid w:val="00BA1464"/>
    <w:rsid w:val="00BC0D42"/>
    <w:rsid w:val="00BD27FC"/>
    <w:rsid w:val="00BE4CBC"/>
    <w:rsid w:val="00BE62E6"/>
    <w:rsid w:val="00BE6A4B"/>
    <w:rsid w:val="00BF5E4F"/>
    <w:rsid w:val="00C203BC"/>
    <w:rsid w:val="00C22CB5"/>
    <w:rsid w:val="00C5424D"/>
    <w:rsid w:val="00C5439F"/>
    <w:rsid w:val="00C546AD"/>
    <w:rsid w:val="00C71165"/>
    <w:rsid w:val="00C743F9"/>
    <w:rsid w:val="00C94F05"/>
    <w:rsid w:val="00C95D7B"/>
    <w:rsid w:val="00C975C8"/>
    <w:rsid w:val="00CB3751"/>
    <w:rsid w:val="00CC2C39"/>
    <w:rsid w:val="00CC7ED5"/>
    <w:rsid w:val="00D00700"/>
    <w:rsid w:val="00D01FA9"/>
    <w:rsid w:val="00D04215"/>
    <w:rsid w:val="00D241D2"/>
    <w:rsid w:val="00D321CF"/>
    <w:rsid w:val="00D355A7"/>
    <w:rsid w:val="00D40CCB"/>
    <w:rsid w:val="00D43F96"/>
    <w:rsid w:val="00D44B97"/>
    <w:rsid w:val="00D77A02"/>
    <w:rsid w:val="00D92DFE"/>
    <w:rsid w:val="00DA02D4"/>
    <w:rsid w:val="00DB7B72"/>
    <w:rsid w:val="00DD1724"/>
    <w:rsid w:val="00DD373A"/>
    <w:rsid w:val="00DD5946"/>
    <w:rsid w:val="00DF2B1D"/>
    <w:rsid w:val="00DF437B"/>
    <w:rsid w:val="00E11569"/>
    <w:rsid w:val="00E32E50"/>
    <w:rsid w:val="00E40568"/>
    <w:rsid w:val="00E40F04"/>
    <w:rsid w:val="00E46776"/>
    <w:rsid w:val="00E46E24"/>
    <w:rsid w:val="00E742B0"/>
    <w:rsid w:val="00E92977"/>
    <w:rsid w:val="00E92A21"/>
    <w:rsid w:val="00E93129"/>
    <w:rsid w:val="00E952B2"/>
    <w:rsid w:val="00EB6F28"/>
    <w:rsid w:val="00EC05BA"/>
    <w:rsid w:val="00EC6854"/>
    <w:rsid w:val="00ED02B6"/>
    <w:rsid w:val="00EE71FF"/>
    <w:rsid w:val="00EF5F23"/>
    <w:rsid w:val="00F126E0"/>
    <w:rsid w:val="00F15328"/>
    <w:rsid w:val="00F30327"/>
    <w:rsid w:val="00F451DE"/>
    <w:rsid w:val="00F466DE"/>
    <w:rsid w:val="00F559E7"/>
    <w:rsid w:val="00F66578"/>
    <w:rsid w:val="00F868D2"/>
    <w:rsid w:val="00F95CC7"/>
    <w:rsid w:val="00FD1517"/>
    <w:rsid w:val="00FE7C4C"/>
    <w:rsid w:val="00FF37DB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1084D"/>
  <w15:chartTrackingRefBased/>
  <w15:docId w15:val="{08DD43BC-2306-40AD-9F8C-F47E24C3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7B"/>
    <w:pPr>
      <w:spacing w:after="100" w:line="240" w:lineRule="auto"/>
      <w:jc w:val="both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B1A4C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75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75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75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5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5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5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5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40568"/>
    <w:pPr>
      <w:spacing w:after="300"/>
      <w:contextualSpacing/>
      <w:jc w:val="center"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40568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B1A4C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6"/>
      <w:szCs w:val="36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7A753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7A7531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7A7531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7A7531"/>
    <w:rPr>
      <w:rFonts w:eastAsiaTheme="majorEastAsia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7A753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7A7531"/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7A753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7A7531"/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75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53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7A7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7531"/>
    <w:rPr>
      <w:rFonts w:ascii="Calibri" w:eastAsiaTheme="minorEastAsia" w:hAnsi="Calibri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7A75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75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7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7531"/>
    <w:rPr>
      <w:rFonts w:ascii="Calibri" w:eastAsiaTheme="minorEastAsia" w:hAnsi="Calibr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Rfrenceintense">
    <w:name w:val="Intense Reference"/>
    <w:basedOn w:val="Policepardfaut"/>
    <w:uiPriority w:val="32"/>
    <w:qFormat/>
    <w:rsid w:val="007A753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3033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3033B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033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3033B"/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3E168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494</Words>
  <Characters>2916</Characters>
  <Application>Microsoft Office Word</Application>
  <DocSecurity>0</DocSecurity>
  <Lines>58</Lines>
  <Paragraphs>50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Bastien Psychologue</dc:creator>
  <cp:keywords/>
  <dc:description/>
  <cp:lastModifiedBy>Julie Bastien Psychologue</cp:lastModifiedBy>
  <cp:revision>5</cp:revision>
  <dcterms:created xsi:type="dcterms:W3CDTF">2025-11-09T18:39:00Z</dcterms:created>
  <dcterms:modified xsi:type="dcterms:W3CDTF">2025-11-09T23:40:00Z</dcterms:modified>
</cp:coreProperties>
</file>